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AE9" w:rsidRDefault="00055AE9">
      <w:pPr>
        <w:jc w:val="center"/>
        <w:rPr>
          <w:sz w:val="18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pt;margin-top:-1.2pt;width:226.85pt;height:75.35pt;z-index:2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055AE9" w:rsidRDefault="00055AE9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55AE9" w:rsidRDefault="00055AE9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55AE9" w:rsidRDefault="00055AE9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055AE9" w:rsidRDefault="00055AE9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55AE9" w:rsidRDefault="00055AE9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055AE9" w:rsidRDefault="00055AE9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293.55pt;margin-top:-1.2pt;width:240.2pt;height:75.7pt;z-index:3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055AE9" w:rsidRDefault="00055AE9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55AE9" w:rsidRDefault="00055AE9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55AE9" w:rsidRDefault="00055AE9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055AE9" w:rsidRDefault="00055AE9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55AE9" w:rsidRDefault="00055AE9">
                  <w:pPr>
                    <w:pStyle w:val="af2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55AE9" w:rsidRDefault="00055AE9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75pt" filled="t">
            <v:fill color2="black"/>
            <v:imagedata r:id="rId5" o:title="" croptop="-23f" cropbottom="-23f" cropleft="-27f" cropright="-27f" blacklevel="5886f"/>
          </v:shape>
        </w:pict>
      </w:r>
    </w:p>
    <w:p w:rsidR="00055AE9" w:rsidRDefault="00055AE9">
      <w:pPr>
        <w:jc w:val="center"/>
        <w:rPr>
          <w:sz w:val="18"/>
        </w:rPr>
      </w:pPr>
    </w:p>
    <w:p w:rsidR="00055AE9" w:rsidRDefault="00055AE9">
      <w:pPr>
        <w:pStyle w:val="9"/>
      </w:pPr>
      <w:r>
        <w:rPr>
          <w:i/>
          <w:shadow/>
          <w:sz w:val="26"/>
          <w:szCs w:val="26"/>
        </w:rPr>
        <w:t xml:space="preserve">П  О  С  Т  А  Н  О  В  Л  Е  Н  И  Е   </w:t>
      </w:r>
    </w:p>
    <w:p w:rsidR="00055AE9" w:rsidRDefault="00055AE9">
      <w:pPr>
        <w:pStyle w:val="1"/>
        <w:jc w:val="center"/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055AE9" w:rsidRDefault="00055AE9">
      <w:pPr>
        <w:pStyle w:val="1"/>
        <w:jc w:val="center"/>
      </w:pPr>
      <w:r>
        <w:rPr>
          <w:rFonts w:eastAsia="Arial"/>
          <w:b/>
          <w:i/>
          <w:shadow/>
          <w:color w:val="000000"/>
        </w:rPr>
        <w:t xml:space="preserve"> </w:t>
      </w:r>
      <w:r>
        <w:rPr>
          <w:b/>
          <w:i/>
          <w:shadow/>
          <w:color w:val="000000"/>
        </w:rPr>
        <w:t>«КРАСНОГВАРДЕЙСКИЙ  РАЙОН»</w:t>
      </w:r>
    </w:p>
    <w:p w:rsidR="00055AE9" w:rsidRDefault="00055AE9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1" from="-2.55pt,5.8pt" to="510.45pt,5.8pt" strokeweight="2.12mm">
            <v:stroke joinstyle="miter" endcap="square"/>
          </v:line>
        </w:pict>
      </w:r>
    </w:p>
    <w:p w:rsidR="00055AE9" w:rsidRDefault="00055AE9">
      <w:pPr>
        <w:pStyle w:val="7"/>
        <w:rPr>
          <w:rFonts w:ascii="Book Antiqua" w:hAnsi="Book Antiqua" w:cs="Book Antiqua"/>
          <w:b w:val="0"/>
          <w:i/>
          <w:shadow/>
          <w:color w:val="FF0000"/>
          <w:sz w:val="8"/>
          <w:u w:val="single"/>
          <w:lang w:val="ru-RU" w:eastAsia="ru-RU"/>
        </w:rPr>
      </w:pPr>
    </w:p>
    <w:p w:rsidR="00055AE9" w:rsidRPr="006D39D4" w:rsidRDefault="006D39D4">
      <w:pPr>
        <w:pStyle w:val="7"/>
      </w:pPr>
      <w:r>
        <w:rPr>
          <w:rFonts w:ascii="Century Schoolbook" w:hAnsi="Century Schoolbook" w:cs="Century Schoolbook"/>
          <w:i/>
          <w:sz w:val="24"/>
          <w:szCs w:val="24"/>
          <w:lang w:val="ru-RU"/>
        </w:rPr>
        <w:t xml:space="preserve">От </w:t>
      </w:r>
      <w:r w:rsidRPr="006D39D4">
        <w:rPr>
          <w:rFonts w:ascii="Century Schoolbook" w:hAnsi="Century Schoolbook" w:cs="Century Schoolbook"/>
          <w:i/>
          <w:sz w:val="24"/>
          <w:szCs w:val="24"/>
          <w:u w:val="single"/>
          <w:lang w:val="ru-RU"/>
        </w:rPr>
        <w:t>11.06.2021г.</w:t>
      </w:r>
      <w:r>
        <w:rPr>
          <w:rFonts w:ascii="Century Schoolbook" w:hAnsi="Century Schoolbook" w:cs="Century Schoolbook"/>
          <w:i/>
          <w:sz w:val="24"/>
          <w:szCs w:val="24"/>
          <w:lang w:val="ru-RU"/>
        </w:rPr>
        <w:t xml:space="preserve"> </w:t>
      </w:r>
      <w:r w:rsidR="00055AE9" w:rsidRPr="006D39D4">
        <w:rPr>
          <w:rFonts w:ascii="Century Schoolbook" w:hAnsi="Century Schoolbook" w:cs="Century Schoolbook"/>
          <w:i/>
          <w:sz w:val="24"/>
          <w:szCs w:val="24"/>
        </w:rPr>
        <w:t xml:space="preserve"> № </w:t>
      </w:r>
      <w:r w:rsidRPr="006D39D4">
        <w:rPr>
          <w:rFonts w:ascii="Century Schoolbook" w:hAnsi="Century Schoolbook" w:cs="Century Schoolbook"/>
          <w:i/>
          <w:sz w:val="24"/>
          <w:szCs w:val="24"/>
          <w:u w:val="single"/>
          <w:lang w:val="ru-RU"/>
        </w:rPr>
        <w:t>470</w:t>
      </w:r>
    </w:p>
    <w:p w:rsidR="00055AE9" w:rsidRDefault="00055AE9">
      <w:pPr>
        <w:pStyle w:val="8"/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055AE9" w:rsidRDefault="00055AE9">
      <w:pPr>
        <w:jc w:val="both"/>
        <w:rPr>
          <w:b/>
          <w:sz w:val="28"/>
          <w:szCs w:val="28"/>
        </w:rPr>
      </w:pPr>
    </w:p>
    <w:p w:rsidR="00055AE9" w:rsidRDefault="00055AE9">
      <w:pPr>
        <w:jc w:val="both"/>
        <w:rPr>
          <w:b/>
          <w:sz w:val="28"/>
          <w:szCs w:val="28"/>
        </w:rPr>
      </w:pPr>
    </w:p>
    <w:p w:rsidR="00055AE9" w:rsidRDefault="00055AE9">
      <w:pPr>
        <w:jc w:val="both"/>
      </w:pPr>
      <w:r>
        <w:rPr>
          <w:b/>
          <w:sz w:val="28"/>
          <w:szCs w:val="28"/>
        </w:rPr>
        <w:t>О внесении изменений и дополнений в приложение к постановлению администрации МО «Красногвардейский район» № 324 от 17.08.2015 г.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участка» в новой редакции»</w:t>
      </w:r>
    </w:p>
    <w:p w:rsidR="00055AE9" w:rsidRDefault="00055AE9">
      <w:pPr>
        <w:ind w:firstLine="709"/>
        <w:jc w:val="both"/>
        <w:rPr>
          <w:sz w:val="28"/>
          <w:szCs w:val="28"/>
        </w:rPr>
      </w:pPr>
    </w:p>
    <w:p w:rsidR="00055AE9" w:rsidRDefault="00055AE9">
      <w:pPr>
        <w:ind w:firstLine="709"/>
        <w:jc w:val="both"/>
        <w:rPr>
          <w:sz w:val="28"/>
          <w:szCs w:val="28"/>
        </w:rPr>
      </w:pPr>
    </w:p>
    <w:p w:rsidR="00055AE9" w:rsidRDefault="00055AE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Рассмотрев протест прокуратуры Красногвардейского района Республики Адыгея № 5-27-2021/58 от 30.04.2021г., 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№583 от 10.10.2011 года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МО «Красногвардейский район»</w:t>
      </w:r>
    </w:p>
    <w:p w:rsidR="00055AE9" w:rsidRDefault="00055AE9">
      <w:pPr>
        <w:ind w:firstLine="709"/>
        <w:jc w:val="center"/>
        <w:rPr>
          <w:b/>
          <w:bCs/>
          <w:sz w:val="28"/>
          <w:szCs w:val="28"/>
        </w:rPr>
      </w:pPr>
    </w:p>
    <w:p w:rsidR="00055AE9" w:rsidRDefault="00055AE9">
      <w:pPr>
        <w:ind w:firstLine="709"/>
        <w:jc w:val="center"/>
      </w:pPr>
      <w:r>
        <w:rPr>
          <w:b/>
          <w:bCs/>
          <w:sz w:val="28"/>
          <w:szCs w:val="28"/>
        </w:rPr>
        <w:t>ПОСТАНОВЛЯЮ:</w:t>
      </w:r>
    </w:p>
    <w:p w:rsidR="00055AE9" w:rsidRDefault="00055AE9">
      <w:pPr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055AE9" w:rsidRDefault="00055AE9">
      <w:pPr>
        <w:pStyle w:val="1"/>
        <w:ind w:firstLine="709"/>
      </w:pPr>
      <w:r>
        <w:rPr>
          <w:rFonts w:ascii="Times New Roman" w:hAnsi="Times New Roman" w:cs="Times New Roman"/>
          <w:sz w:val="28"/>
          <w:szCs w:val="28"/>
        </w:rPr>
        <w:t>1. Внести следующие изменения и дополнения в приложение к постановлению администрации МО «Красногвардейский район» №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324 от 17.08.2015г. «Об утверждении административного регламента администрации МО «Красногвардейский район» по предоставлению муниципальной услуги «Предоставление градостроительного плана земельного участка»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1.1. Пункт 27 изложить в следующей редакции «27. В целях получения градостроительного плана земельного участка заявитель представляет в Отдел непосредственно, через ЕПГУ, либо через МФЦ заявление о выдаче градостроительного плана земельного участка с приложением копии паспорта (для физ. лиц) (образец приведен в приложении № 1 к Административному регламенту).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</w:t>
      </w:r>
      <w:r>
        <w:rPr>
          <w:sz w:val="28"/>
          <w:szCs w:val="28"/>
        </w:rPr>
        <w:lastRenderedPageBreak/>
        <w:t>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органе, предоставляющем муниципальную услугу,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информации».».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1.2. Пункт 30 изложить в следующей редакции «30. При предоставлении муниципальной услуги должностные лица Отдела не вправе требовать от заявителя: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регулирующие отношения, возникшие в связи с предоставлением муниципальной услуги;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МО «Красногвардейский район» находятся в распоряжении администрации района и ее структурных подразделений,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следующих документов: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1)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2) документы воинского учета;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3)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4)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5)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6) 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7) документы об образовании и (или) о квалификации, об ученых степенях и ученых званиях и документы, связанные с прохождением обучения, выданные на территории иностранного государства, и их нотариально удостоверенный перевод на русский язык;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 xml:space="preserve">8) документы об образовании и (или) о квалификации, об ученых степенях и ученых званиях, выдаваемые военными профессиональными образовательными </w:t>
      </w:r>
      <w:r>
        <w:rPr>
          <w:sz w:val="28"/>
          <w:szCs w:val="28"/>
        </w:rPr>
        <w:lastRenderedPageBreak/>
        <w:t>организациями и военными образовательными организациями высшего образования, а также выданные в 1992 - 1995 годах организациями, осуществляющими образовательную деятельность на территории Российской Федерации;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9)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10)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или административного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11) учредительные документы юридического лица, за исключением представления таких документов для осуществления государственного кадастрового учета и (или) государственной регистрации прав на объекты недвижимости;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12)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13) документы о государственных и ведомственных наградах, государственных премиях и знаках отличия;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14)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предпринимателями.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в)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г)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 исключением случаев указанных в п. 4 ч. 1 ст. 7 Федерального закона от 27.07.2010 № 210-ФЗ «Об организации предоставления государственных и муниципальных услуг».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д) предоставления на бумажном носителе документов и информации, электронные образы которых ранее были заверены в соответствии с п. 7.2 ч. 1 ст.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 xml:space="preserve">2. 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055AE9" w:rsidRDefault="00055AE9">
      <w:pPr>
        <w:ind w:firstLine="709"/>
        <w:contextualSpacing/>
        <w:jc w:val="both"/>
      </w:pPr>
      <w:r>
        <w:rPr>
          <w:sz w:val="28"/>
          <w:szCs w:val="28"/>
        </w:rPr>
        <w:lastRenderedPageBreak/>
        <w:t>3.</w:t>
      </w:r>
      <w:r>
        <w:t xml:space="preserve"> </w:t>
      </w:r>
      <w:r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район».</w:t>
      </w:r>
      <w:r>
        <w:rPr>
          <w:sz w:val="28"/>
          <w:szCs w:val="28"/>
        </w:rPr>
        <w:tab/>
      </w:r>
    </w:p>
    <w:p w:rsidR="00055AE9" w:rsidRDefault="00055AE9">
      <w:pPr>
        <w:ind w:firstLine="709"/>
        <w:jc w:val="both"/>
      </w:pPr>
      <w:r>
        <w:rPr>
          <w:sz w:val="28"/>
          <w:szCs w:val="28"/>
        </w:rPr>
        <w:t>4. Настоящее постановление вступает в силу с момента его опубликования.</w:t>
      </w:r>
    </w:p>
    <w:p w:rsidR="00055AE9" w:rsidRDefault="00055AE9">
      <w:pPr>
        <w:ind w:right="-483"/>
        <w:jc w:val="both"/>
        <w:rPr>
          <w:sz w:val="28"/>
          <w:szCs w:val="28"/>
        </w:rPr>
      </w:pPr>
    </w:p>
    <w:p w:rsidR="00055AE9" w:rsidRDefault="00055AE9">
      <w:pPr>
        <w:ind w:right="-483"/>
        <w:jc w:val="both"/>
      </w:pPr>
      <w:r>
        <w:rPr>
          <w:sz w:val="28"/>
          <w:szCs w:val="28"/>
        </w:rPr>
        <w:t>Глава МО «Красногвардейский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>
        <w:rPr>
          <w:sz w:val="28"/>
          <w:szCs w:val="28"/>
        </w:rPr>
        <w:t xml:space="preserve">        </w:t>
      </w:r>
    </w:p>
    <w:p w:rsidR="00055AE9" w:rsidRDefault="00055AE9">
      <w:pPr>
        <w:ind w:right="-483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055AE9" w:rsidRDefault="00055AE9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055AE9" w:rsidRDefault="00055AE9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  <w:lang w:val="ru-RU" w:eastAsia="ru-RU"/>
        </w:rPr>
      </w:pPr>
    </w:p>
    <w:p w:rsidR="00055AE9" w:rsidRDefault="00055AE9">
      <w:pPr>
        <w:ind w:right="-1"/>
        <w:jc w:val="both"/>
        <w:rPr>
          <w:rFonts w:ascii="Century Schoolbook" w:hAnsi="Century Schoolbook" w:cs="Century Schoolbook"/>
          <w:b/>
          <w:i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p w:rsidR="00055AE9" w:rsidRDefault="00055AE9">
      <w:pPr>
        <w:ind w:right="-1"/>
        <w:jc w:val="both"/>
        <w:rPr>
          <w:b/>
          <w:sz w:val="28"/>
          <w:szCs w:val="28"/>
        </w:rPr>
      </w:pPr>
    </w:p>
    <w:sectPr w:rsidR="00055AE9">
      <w:pgSz w:w="11906" w:h="16838"/>
      <w:pgMar w:top="1134" w:right="567" w:bottom="1134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9D4"/>
    <w:rsid w:val="00055AE9"/>
    <w:rsid w:val="006D39D4"/>
    <w:rsid w:val="006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  <w:lang w:val="x-none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0">
    <w:name w:val="Основной шрифт абзаца2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ascii="Times New Roman" w:hAnsi="Times New Roman"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paragraph" w:customStyle="1" w:styleId="ac">
    <w:name w:val="Заголовок"/>
    <w:basedOn w:val="a"/>
    <w:next w:val="ad"/>
    <w:pPr>
      <w:autoSpaceDE w:val="0"/>
      <w:spacing w:line="326" w:lineRule="exact"/>
      <w:jc w:val="center"/>
    </w:pPr>
    <w:rPr>
      <w:szCs w:val="32"/>
    </w:rPr>
  </w:style>
  <w:style w:type="paragraph" w:styleId="ad">
    <w:name w:val="Body Text"/>
    <w:basedOn w:val="a"/>
    <w:pPr>
      <w:jc w:val="both"/>
    </w:pPr>
    <w:rPr>
      <w:lang w:val="x-none"/>
    </w:r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210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0">
    <w:name w:val="Body Text Indent"/>
    <w:basedOn w:val="a"/>
    <w:pPr>
      <w:autoSpaceDE w:val="0"/>
      <w:spacing w:before="4" w:line="240" w:lineRule="exact"/>
      <w:ind w:firstLine="720"/>
      <w:jc w:val="both"/>
    </w:pPr>
    <w:rPr>
      <w:lang w:val="x-none"/>
    </w:rPr>
  </w:style>
  <w:style w:type="paragraph" w:customStyle="1" w:styleId="211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styleId="af2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3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4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5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6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styleId="af8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af9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a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2021-06-15T09:09:00Z</cp:lastPrinted>
  <dcterms:created xsi:type="dcterms:W3CDTF">2021-06-16T09:21:00Z</dcterms:created>
  <dcterms:modified xsi:type="dcterms:W3CDTF">2021-06-16T09:21:00Z</dcterms:modified>
</cp:coreProperties>
</file>